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2大住宿标准随心选 赠送非遗制香体验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网红打卡：网红万宁日月湾+车览万宁沿海公路段+赠送海口骑楼老街+海花岛畅玩不限时
                <w:br/>
                ★ 寻味美食：特色糟粕醋火锅、黎苗簸箕餐、南山素斋
                <w:br/>
                ★ 超值赠送：赠送价值198元/人直升机飞行体验，俯瞰三亚美景；
                <w:br/>
                    赠送体验篝火晚会，夏日狂欢之夜，嗨翻全场；
                <w:br/>
                ★  赠送非遗体验：南山古法制香体验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5、此线路有两款住宿标准选择，不同住宿版本对应价格不同，酒店参考如下：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交通：飞机+旅游车
                <w:br/>
                景点：海花岛、灯光秀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豪华版：三亚湾伯爵百悦酒店/海棠湾麓湖度假酒店.园景房/半山半岛帆船港.豪华海景房/四季海庭.市景房/明申高尔夫.花园房或不低于以上标准网评5钻酒店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园区项目，选择性消费），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中餐品尝特色餐：南山自助素斋
                <w:br/>
                下午游览5A景区【天涯海角】（时间不少于120分钟不含电瓶车/园区项目，选择性消费），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温馨提示：景区均自设有购物场所，属于景区自行商业行为，一般在中途或出口处，行程存在途径，敬请谅解，消费遵循自愿原则。
                <w:br/>
                交通：旅游车
                <w:br/>
                景点：南山、天涯海角
                <w:br/>
                自费项：天涯海角、南山电瓶车/园中园项目等不含，价格以景区当天挂牌价为准，非必消，自愿选择消费原则；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午餐：南山素斋，如放弃不用费用不退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景点：槟榔谷、日月湾、海口骑楼老街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2026-04-30T10:43:04+08:00</dcterms:created>
  <dcterms:modified xsi:type="dcterms:W3CDTF">2026-04-30T10:43:04+08:00</dcterms:modified>
</cp:coreProperties>
</file>

<file path=docProps/custom.xml><?xml version="1.0" encoding="utf-8"?>
<Properties xmlns="http://schemas.openxmlformats.org/officeDocument/2006/custom-properties" xmlns:vt="http://schemas.openxmlformats.org/officeDocument/2006/docPropsVTypes"/>
</file>