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阿联酋6天|“5557”帆船酒店|四大酋长国|沙漠冲沙|(广州CZ)行程单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【5557·帆船 皇室奢华酒店】 ”去迪拜，必住帆船！豪叹中东油王奢华人生！“
                <w:br/>
                （1）1晚迪拜JUMEIRAH皇室奢华集团旗下：被誉称为世界上唯一“七星级”帆船酒店170平方复式海景套房
                <w:br/>
                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入住【被誉称为世界上唯一的“七星级”帆船酒店170平方复式海景套房】。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迪拜卓美亚帆船酒店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卓美亚帆船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（1）如若单人无法安排与同性团友入住，须补全程单房差共（随团款支付）：
                <w:br/>
                11月10-12月19、1月11-2月2、2月6-13、2月22-3月18、4月13-24期间入住帆船按人民币9500元/人；12月20-29、2月3-5期间入住帆船按人民币10500元/人；1月2-10期间入住帆船按人民币11500元/人；3月19-4月12、4月25-5月9期间入住帆船按人民币11000元/人，其他日期另询。
                <w:br/>
                （2）如若单人在其亲朋好友房间全程加床不需加收单间差，注意：单人须在其他亲朋好友同意情况下方可加床。
                <w:br/>
                但因加床费用昂贵，并无费用可退；帆船酒店加床房间最多允许3位成人，或2位成人及2位12岁以下不占床儿童；
                <w:br/>
                （3）全程不占床12岁以下儿童报名：退回人民币3000元/人。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