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YXYZ6D-ZC2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参考航班：CZ6049/1335-1510，飞行时间约2.5小时，时差1小时
                <w:br/>
                参考航班：CZ6050/1600-1950，飞行时间约3小时，时差1小时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交通：参考航班：CZ6049/1335-1510，飞行时间约2.5小时，时差1小时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酒店内享用早餐后，上午自由活动。办理退房手续后，专车前往机场乘搭客机飞回广州机场之后（飞行时间约3小时），结束此次难忘的愉快之旅。
                <w:br/>
                <w:br/>
                〖温馨提示〗
                <w:br/>
                返程前请仔细检查自己的行李物品，不要遗漏酒店。
                <w:br/>
                交通：参考航班：CZ6050/1600-1950，飞行时间约3小时，时差1小时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2、全程行程所列星级酒店标准间（4晚海边五星酒店参考：科莫多、西格尼、钦特尔中央、维斯那或不低于同档次酒店）；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7、越南落地签+导游服务费￥500元/人（需与团费一起支付）；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3、不含越南落地签+导游服务费￥500元/人（需与团费一起支付）；
                <w:br/>
                4、单房差￥900元/人（如遇自然单间需补单间差或加床处理）；
                <w:br/>
                5、签证所需资料：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2025-10-19T12:10:45+08:00</dcterms:created>
  <dcterms:modified xsi:type="dcterms:W3CDTF">2025-10-19T12:10:45+08:00</dcterms:modified>
</cp:coreProperties>
</file>

<file path=docProps/custom.xml><?xml version="1.0" encoding="utf-8"?>
<Properties xmlns="http://schemas.openxmlformats.org/officeDocument/2006/custom-properties" xmlns:vt="http://schemas.openxmlformats.org/officeDocument/2006/docPropsVTypes"/>
</file>